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EEEEC" w14:textId="77777777" w:rsidR="00A90AEB" w:rsidRDefault="00A90AEB" w:rsidP="00A90AEB">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Updated: April, </w:t>
      </w:r>
      <w:r w:rsidR="00820D2F">
        <w:rPr>
          <w:rFonts w:ascii="Arial" w:hAnsi="Arial" w:cs="Arial"/>
          <w:b/>
          <w:bCs/>
        </w:rPr>
        <w:t>2023</w:t>
      </w:r>
    </w:p>
    <w:tbl>
      <w:tblPr>
        <w:tblW w:w="9360" w:type="dxa"/>
        <w:tblLook w:val="0000" w:firstRow="0" w:lastRow="0" w:firstColumn="0" w:lastColumn="0" w:noHBand="0" w:noVBand="0"/>
      </w:tblPr>
      <w:tblGrid>
        <w:gridCol w:w="1696"/>
        <w:gridCol w:w="7664"/>
      </w:tblGrid>
      <w:tr w:rsidR="00A90AEB" w14:paraId="097556CC" w14:textId="77777777" w:rsidTr="005E2618">
        <w:trPr>
          <w:trHeight w:val="261"/>
        </w:trPr>
        <w:tc>
          <w:tcPr>
            <w:tcW w:w="1696" w:type="dxa"/>
          </w:tcPr>
          <w:p w14:paraId="1C80D271" w14:textId="77777777" w:rsidR="00A90AEB" w:rsidRDefault="00A90AEB" w:rsidP="005E2618">
            <w:pPr>
              <w:rPr>
                <w:rFonts w:ascii="Arial" w:hAnsi="Arial" w:cs="Arial"/>
                <w:b/>
                <w:bCs/>
                <w:sz w:val="22"/>
              </w:rPr>
            </w:pPr>
          </w:p>
        </w:tc>
        <w:tc>
          <w:tcPr>
            <w:tcW w:w="7664" w:type="dxa"/>
          </w:tcPr>
          <w:p w14:paraId="15160974" w14:textId="77777777" w:rsidR="00A90AEB" w:rsidRDefault="00A90AEB" w:rsidP="005E2618">
            <w:pPr>
              <w:rPr>
                <w:rFonts w:ascii="Arial" w:hAnsi="Arial" w:cs="Arial"/>
                <w:b/>
                <w:bCs/>
                <w:sz w:val="22"/>
              </w:rPr>
            </w:pPr>
          </w:p>
        </w:tc>
      </w:tr>
      <w:tr w:rsidR="00A90AEB" w14:paraId="731E60D4" w14:textId="77777777" w:rsidTr="005E2618">
        <w:trPr>
          <w:trHeight w:val="549"/>
        </w:trPr>
        <w:tc>
          <w:tcPr>
            <w:tcW w:w="1696" w:type="dxa"/>
          </w:tcPr>
          <w:p w14:paraId="758F97AA" w14:textId="77777777" w:rsidR="00A90AEB" w:rsidRDefault="00A90AEB" w:rsidP="005E2618">
            <w:pPr>
              <w:rPr>
                <w:rFonts w:ascii="Arial" w:hAnsi="Arial" w:cs="Arial"/>
              </w:rPr>
            </w:pPr>
            <w:r>
              <w:rPr>
                <w:rFonts w:ascii="Arial" w:hAnsi="Arial" w:cs="Arial"/>
                <w:b/>
                <w:bCs/>
              </w:rPr>
              <w:t>PURPOSE:</w:t>
            </w:r>
          </w:p>
          <w:p w14:paraId="20BA4082" w14:textId="77777777" w:rsidR="00A90AEB" w:rsidRDefault="00A90AEB" w:rsidP="005E2618">
            <w:pPr>
              <w:rPr>
                <w:rFonts w:ascii="Arial" w:hAnsi="Arial" w:cs="Arial"/>
                <w:b/>
                <w:bCs/>
              </w:rPr>
            </w:pPr>
          </w:p>
        </w:tc>
        <w:tc>
          <w:tcPr>
            <w:tcW w:w="7664" w:type="dxa"/>
          </w:tcPr>
          <w:p w14:paraId="2449767F" w14:textId="77777777" w:rsidR="00A90AEB" w:rsidRDefault="00A90AEB" w:rsidP="005E2618">
            <w:pPr>
              <w:jc w:val="both"/>
              <w:rPr>
                <w:rFonts w:ascii="Arial" w:hAnsi="Arial"/>
                <w:sz w:val="20"/>
              </w:rPr>
            </w:pPr>
            <w:r>
              <w:rPr>
                <w:rFonts w:ascii="Arial" w:hAnsi="Arial"/>
                <w:sz w:val="20"/>
              </w:rPr>
              <w:t xml:space="preserve">To instruct PCCO staff on ensuring chain of custody on all items collected. </w:t>
            </w:r>
          </w:p>
          <w:p w14:paraId="3153B39D" w14:textId="77777777" w:rsidR="00A90AEB" w:rsidRPr="00050C1E" w:rsidRDefault="00A90AEB" w:rsidP="005E2618">
            <w:pPr>
              <w:jc w:val="both"/>
              <w:rPr>
                <w:rFonts w:ascii="Arial" w:hAnsi="Arial"/>
                <w:sz w:val="20"/>
              </w:rPr>
            </w:pPr>
          </w:p>
        </w:tc>
      </w:tr>
      <w:tr w:rsidR="00A90AEB" w14:paraId="54E607C2" w14:textId="77777777" w:rsidTr="005E2618">
        <w:tc>
          <w:tcPr>
            <w:tcW w:w="1696" w:type="dxa"/>
          </w:tcPr>
          <w:p w14:paraId="6F759A33" w14:textId="77777777" w:rsidR="00A90AEB" w:rsidRDefault="00A90AEB" w:rsidP="005E2618">
            <w:pPr>
              <w:rPr>
                <w:rFonts w:ascii="Arial" w:hAnsi="Arial" w:cs="Arial"/>
              </w:rPr>
            </w:pPr>
            <w:r>
              <w:rPr>
                <w:rFonts w:ascii="Arial" w:hAnsi="Arial" w:cs="Arial"/>
                <w:b/>
                <w:bCs/>
              </w:rPr>
              <w:t>SCOPE:</w:t>
            </w:r>
          </w:p>
          <w:p w14:paraId="0DA99A08" w14:textId="77777777" w:rsidR="00A90AEB" w:rsidRDefault="00A90AEB" w:rsidP="005E2618">
            <w:pPr>
              <w:rPr>
                <w:rFonts w:ascii="Arial" w:hAnsi="Arial" w:cs="Arial"/>
                <w:b/>
                <w:bCs/>
              </w:rPr>
            </w:pPr>
          </w:p>
        </w:tc>
        <w:tc>
          <w:tcPr>
            <w:tcW w:w="7664" w:type="dxa"/>
          </w:tcPr>
          <w:p w14:paraId="3E86CFFE" w14:textId="77777777" w:rsidR="00A90AEB" w:rsidRPr="001F4550" w:rsidRDefault="00A90AEB" w:rsidP="005E2618">
            <w:pPr>
              <w:jc w:val="both"/>
              <w:rPr>
                <w:rFonts w:ascii="Arial" w:hAnsi="Arial" w:cs="Arial"/>
                <w:sz w:val="20"/>
                <w:szCs w:val="20"/>
              </w:rPr>
            </w:pPr>
            <w:r>
              <w:rPr>
                <w:rFonts w:ascii="Arial" w:hAnsi="Arial"/>
                <w:sz w:val="20"/>
              </w:rPr>
              <w:t>This guideline applies to sworn PCCO personnel.</w:t>
            </w:r>
          </w:p>
        </w:tc>
      </w:tr>
      <w:tr w:rsidR="00A90AEB" w14:paraId="1C5E465A" w14:textId="77777777" w:rsidTr="005E2618">
        <w:trPr>
          <w:trHeight w:val="6098"/>
        </w:trPr>
        <w:tc>
          <w:tcPr>
            <w:tcW w:w="1696" w:type="dxa"/>
          </w:tcPr>
          <w:p w14:paraId="17C47811" w14:textId="77777777" w:rsidR="00A90AEB" w:rsidRDefault="00A90AEB" w:rsidP="005E2618">
            <w:pPr>
              <w:jc w:val="both"/>
              <w:rPr>
                <w:rFonts w:ascii="Arial" w:hAnsi="Arial" w:cs="Arial"/>
                <w:i/>
                <w:iCs/>
              </w:rPr>
            </w:pPr>
            <w:r>
              <w:rPr>
                <w:rFonts w:ascii="Arial" w:hAnsi="Arial" w:cs="Arial"/>
                <w:b/>
                <w:bCs/>
              </w:rPr>
              <w:t>GUIDELINE:</w:t>
            </w:r>
          </w:p>
          <w:p w14:paraId="673EEECD" w14:textId="77777777" w:rsidR="00A90AEB" w:rsidRDefault="00A90AEB" w:rsidP="005E2618">
            <w:pPr>
              <w:rPr>
                <w:rFonts w:ascii="Arial" w:hAnsi="Arial" w:cs="Arial"/>
                <w:b/>
                <w:bCs/>
              </w:rPr>
            </w:pPr>
          </w:p>
          <w:p w14:paraId="745C2B60" w14:textId="77777777" w:rsidR="00A90AEB" w:rsidRDefault="00A90AEB" w:rsidP="005E2618">
            <w:pPr>
              <w:rPr>
                <w:rFonts w:ascii="Arial" w:hAnsi="Arial" w:cs="Arial"/>
                <w:b/>
                <w:bCs/>
              </w:rPr>
            </w:pPr>
          </w:p>
          <w:p w14:paraId="0EF8FA37" w14:textId="77777777" w:rsidR="00A90AEB" w:rsidRDefault="00A90AEB" w:rsidP="005E2618">
            <w:pPr>
              <w:rPr>
                <w:rFonts w:ascii="Arial" w:hAnsi="Arial" w:cs="Arial"/>
                <w:b/>
                <w:bCs/>
              </w:rPr>
            </w:pPr>
          </w:p>
          <w:p w14:paraId="00A3B8AC" w14:textId="77777777" w:rsidR="00A90AEB" w:rsidRDefault="00A90AEB" w:rsidP="005E2618">
            <w:pPr>
              <w:rPr>
                <w:rFonts w:ascii="Arial" w:hAnsi="Arial" w:cs="Arial"/>
                <w:b/>
                <w:bCs/>
              </w:rPr>
            </w:pPr>
          </w:p>
          <w:p w14:paraId="23F043CD" w14:textId="77777777" w:rsidR="00A90AEB" w:rsidRDefault="00A90AEB" w:rsidP="005E2618">
            <w:pPr>
              <w:rPr>
                <w:rFonts w:ascii="Arial" w:hAnsi="Arial" w:cs="Arial"/>
                <w:b/>
                <w:bCs/>
              </w:rPr>
            </w:pPr>
          </w:p>
          <w:p w14:paraId="5365D47B" w14:textId="77777777" w:rsidR="00A90AEB" w:rsidRDefault="00A90AEB" w:rsidP="005E2618">
            <w:pPr>
              <w:rPr>
                <w:rFonts w:ascii="Arial" w:hAnsi="Arial" w:cs="Arial"/>
                <w:b/>
                <w:bCs/>
              </w:rPr>
            </w:pPr>
          </w:p>
          <w:p w14:paraId="04956331" w14:textId="77777777" w:rsidR="00A90AEB" w:rsidRDefault="00A90AEB" w:rsidP="005E2618">
            <w:pPr>
              <w:rPr>
                <w:rFonts w:ascii="Arial" w:hAnsi="Arial" w:cs="Arial"/>
                <w:b/>
                <w:bCs/>
              </w:rPr>
            </w:pPr>
          </w:p>
          <w:p w14:paraId="720B0B31" w14:textId="77777777" w:rsidR="00A90AEB" w:rsidRDefault="00A90AEB" w:rsidP="005E2618">
            <w:pPr>
              <w:rPr>
                <w:rFonts w:ascii="Arial" w:hAnsi="Arial" w:cs="Arial"/>
                <w:b/>
                <w:bCs/>
              </w:rPr>
            </w:pPr>
          </w:p>
          <w:p w14:paraId="2CB94014" w14:textId="77777777" w:rsidR="00A90AEB" w:rsidRDefault="00A90AEB" w:rsidP="005E2618">
            <w:pPr>
              <w:rPr>
                <w:rFonts w:ascii="Arial" w:hAnsi="Arial" w:cs="Arial"/>
                <w:b/>
                <w:bCs/>
              </w:rPr>
            </w:pPr>
          </w:p>
          <w:p w14:paraId="59DBFAAF" w14:textId="77777777" w:rsidR="00A90AEB" w:rsidRDefault="00A90AEB" w:rsidP="005E2618">
            <w:pPr>
              <w:rPr>
                <w:rFonts w:ascii="Arial" w:hAnsi="Arial" w:cs="Arial"/>
                <w:b/>
                <w:bCs/>
              </w:rPr>
            </w:pPr>
          </w:p>
          <w:p w14:paraId="672CE6FC" w14:textId="77777777" w:rsidR="00A90AEB" w:rsidRDefault="00A90AEB" w:rsidP="005E2618">
            <w:pPr>
              <w:rPr>
                <w:rFonts w:ascii="Arial" w:hAnsi="Arial" w:cs="Arial"/>
                <w:b/>
                <w:bCs/>
              </w:rPr>
            </w:pPr>
          </w:p>
          <w:p w14:paraId="40A64277" w14:textId="77777777" w:rsidR="00A90AEB" w:rsidRDefault="00A90AEB" w:rsidP="005E2618">
            <w:pPr>
              <w:rPr>
                <w:rFonts w:ascii="Arial" w:hAnsi="Arial" w:cs="Arial"/>
                <w:b/>
                <w:bCs/>
              </w:rPr>
            </w:pPr>
          </w:p>
          <w:p w14:paraId="45509ECE" w14:textId="77777777" w:rsidR="00A90AEB" w:rsidRDefault="00A90AEB" w:rsidP="005E2618">
            <w:pPr>
              <w:rPr>
                <w:rFonts w:ascii="Arial" w:hAnsi="Arial" w:cs="Arial"/>
                <w:b/>
                <w:bCs/>
              </w:rPr>
            </w:pPr>
          </w:p>
          <w:p w14:paraId="40E91AEE" w14:textId="77777777" w:rsidR="00A90AEB" w:rsidRDefault="00A90AEB" w:rsidP="005E2618">
            <w:pPr>
              <w:rPr>
                <w:rFonts w:ascii="Arial" w:hAnsi="Arial" w:cs="Arial"/>
                <w:b/>
                <w:bCs/>
              </w:rPr>
            </w:pPr>
          </w:p>
          <w:p w14:paraId="49BAEAFC" w14:textId="77777777" w:rsidR="00A90AEB" w:rsidRDefault="00A90AEB" w:rsidP="005E2618">
            <w:pPr>
              <w:rPr>
                <w:rFonts w:ascii="Arial" w:hAnsi="Arial" w:cs="Arial"/>
                <w:b/>
                <w:bCs/>
              </w:rPr>
            </w:pPr>
          </w:p>
          <w:p w14:paraId="22D5AD2D" w14:textId="77777777" w:rsidR="00A90AEB" w:rsidRDefault="00A90AEB" w:rsidP="005E2618">
            <w:pPr>
              <w:rPr>
                <w:rFonts w:ascii="Arial" w:hAnsi="Arial" w:cs="Arial"/>
                <w:b/>
                <w:bCs/>
              </w:rPr>
            </w:pPr>
          </w:p>
          <w:p w14:paraId="7A6152D6" w14:textId="77777777" w:rsidR="00A90AEB" w:rsidRDefault="00A90AEB" w:rsidP="005E2618">
            <w:pPr>
              <w:rPr>
                <w:rFonts w:ascii="Arial" w:hAnsi="Arial" w:cs="Arial"/>
                <w:b/>
                <w:bCs/>
              </w:rPr>
            </w:pPr>
          </w:p>
          <w:p w14:paraId="02B3E47E" w14:textId="77777777" w:rsidR="00A90AEB" w:rsidRDefault="00A90AEB" w:rsidP="005E2618">
            <w:pPr>
              <w:rPr>
                <w:rFonts w:ascii="Arial" w:hAnsi="Arial" w:cs="Arial"/>
                <w:b/>
                <w:bCs/>
              </w:rPr>
            </w:pPr>
          </w:p>
          <w:p w14:paraId="4A5155EB" w14:textId="77777777" w:rsidR="00A90AEB" w:rsidRDefault="00A90AEB" w:rsidP="005E2618">
            <w:pPr>
              <w:rPr>
                <w:rFonts w:ascii="Arial" w:hAnsi="Arial" w:cs="Arial"/>
                <w:b/>
                <w:bCs/>
              </w:rPr>
            </w:pPr>
          </w:p>
          <w:p w14:paraId="2D59EF4B" w14:textId="77777777" w:rsidR="00A90AEB" w:rsidRDefault="00A90AEB" w:rsidP="005E2618">
            <w:pPr>
              <w:rPr>
                <w:rFonts w:ascii="Arial" w:hAnsi="Arial" w:cs="Arial"/>
                <w:b/>
                <w:bCs/>
              </w:rPr>
            </w:pPr>
          </w:p>
          <w:p w14:paraId="6E3DCF55" w14:textId="77777777" w:rsidR="00A90AEB" w:rsidRDefault="00A90AEB" w:rsidP="005E2618">
            <w:pPr>
              <w:rPr>
                <w:rFonts w:ascii="Arial" w:hAnsi="Arial" w:cs="Arial"/>
                <w:b/>
                <w:bCs/>
              </w:rPr>
            </w:pPr>
          </w:p>
          <w:p w14:paraId="5447EDD5" w14:textId="77777777" w:rsidR="00A90AEB" w:rsidRDefault="00A90AEB" w:rsidP="005E2618">
            <w:pPr>
              <w:rPr>
                <w:rFonts w:ascii="Arial" w:hAnsi="Arial" w:cs="Arial"/>
                <w:b/>
                <w:bCs/>
              </w:rPr>
            </w:pPr>
          </w:p>
          <w:p w14:paraId="667BEB41" w14:textId="77777777" w:rsidR="00A90AEB" w:rsidRDefault="00A90AEB" w:rsidP="005E2618">
            <w:pPr>
              <w:rPr>
                <w:rFonts w:ascii="Arial" w:hAnsi="Arial" w:cs="Arial"/>
                <w:b/>
                <w:bCs/>
              </w:rPr>
            </w:pPr>
          </w:p>
          <w:p w14:paraId="3AFD0583" w14:textId="77777777" w:rsidR="00A90AEB" w:rsidRDefault="00A90AEB" w:rsidP="005E2618">
            <w:pPr>
              <w:rPr>
                <w:rFonts w:ascii="Arial" w:hAnsi="Arial" w:cs="Arial"/>
                <w:b/>
                <w:bCs/>
              </w:rPr>
            </w:pPr>
          </w:p>
          <w:p w14:paraId="17C957D2" w14:textId="77777777" w:rsidR="00A90AEB" w:rsidRDefault="00A90AEB" w:rsidP="005E2618">
            <w:pPr>
              <w:rPr>
                <w:rFonts w:ascii="Arial" w:hAnsi="Arial" w:cs="Arial"/>
                <w:b/>
                <w:bCs/>
              </w:rPr>
            </w:pPr>
          </w:p>
          <w:p w14:paraId="223AD5FA" w14:textId="77777777" w:rsidR="00A90AEB" w:rsidRDefault="00A90AEB" w:rsidP="005E2618">
            <w:pPr>
              <w:rPr>
                <w:rFonts w:ascii="Arial" w:hAnsi="Arial" w:cs="Arial"/>
                <w:b/>
                <w:bCs/>
              </w:rPr>
            </w:pPr>
          </w:p>
          <w:p w14:paraId="462FA49F" w14:textId="77777777" w:rsidR="00A90AEB" w:rsidRDefault="00A90AEB" w:rsidP="005E2618">
            <w:pPr>
              <w:rPr>
                <w:rFonts w:ascii="Arial" w:hAnsi="Arial" w:cs="Arial"/>
                <w:b/>
                <w:bCs/>
              </w:rPr>
            </w:pPr>
          </w:p>
          <w:p w14:paraId="2CCB4892" w14:textId="77777777" w:rsidR="00A90AEB" w:rsidRDefault="00A90AEB" w:rsidP="005E2618">
            <w:pPr>
              <w:rPr>
                <w:rFonts w:ascii="Arial" w:hAnsi="Arial" w:cs="Arial"/>
                <w:b/>
                <w:bCs/>
              </w:rPr>
            </w:pPr>
          </w:p>
          <w:p w14:paraId="0DABD698" w14:textId="77777777" w:rsidR="00A90AEB" w:rsidRDefault="00A90AEB" w:rsidP="005E2618">
            <w:pPr>
              <w:rPr>
                <w:rFonts w:ascii="Arial" w:hAnsi="Arial" w:cs="Arial"/>
                <w:b/>
                <w:bCs/>
              </w:rPr>
            </w:pPr>
          </w:p>
          <w:p w14:paraId="1454389F" w14:textId="77777777" w:rsidR="00A90AEB" w:rsidRDefault="00A90AEB" w:rsidP="005E2618">
            <w:pPr>
              <w:rPr>
                <w:rFonts w:ascii="Arial" w:hAnsi="Arial" w:cs="Arial"/>
                <w:b/>
                <w:bCs/>
              </w:rPr>
            </w:pPr>
          </w:p>
          <w:p w14:paraId="7E0CF676" w14:textId="77777777" w:rsidR="00A90AEB" w:rsidRDefault="00A90AEB" w:rsidP="005E2618">
            <w:pPr>
              <w:rPr>
                <w:rFonts w:ascii="Arial" w:hAnsi="Arial" w:cs="Arial"/>
                <w:b/>
                <w:bCs/>
              </w:rPr>
            </w:pPr>
          </w:p>
          <w:p w14:paraId="525810BD" w14:textId="77777777" w:rsidR="00A90AEB" w:rsidRDefault="00A90AEB" w:rsidP="005E2618">
            <w:pPr>
              <w:rPr>
                <w:rFonts w:ascii="Arial" w:hAnsi="Arial" w:cs="Arial"/>
                <w:b/>
                <w:bCs/>
              </w:rPr>
            </w:pPr>
          </w:p>
          <w:p w14:paraId="178716E0" w14:textId="77777777" w:rsidR="00A90AEB" w:rsidRDefault="00A90AEB" w:rsidP="005E2618">
            <w:pPr>
              <w:rPr>
                <w:rFonts w:ascii="Arial" w:hAnsi="Arial" w:cs="Arial"/>
                <w:b/>
                <w:bCs/>
              </w:rPr>
            </w:pPr>
          </w:p>
          <w:p w14:paraId="34855EA6" w14:textId="77777777" w:rsidR="00820D2F" w:rsidRDefault="00820D2F" w:rsidP="005E2618">
            <w:pPr>
              <w:rPr>
                <w:rFonts w:ascii="Arial" w:hAnsi="Arial" w:cs="Arial"/>
                <w:b/>
                <w:bCs/>
              </w:rPr>
            </w:pPr>
          </w:p>
          <w:p w14:paraId="7B8CE6E2" w14:textId="77777777" w:rsidR="00820D2F" w:rsidRDefault="00820D2F" w:rsidP="005E2618">
            <w:pPr>
              <w:rPr>
                <w:rFonts w:ascii="Arial" w:hAnsi="Arial" w:cs="Arial"/>
                <w:b/>
                <w:bCs/>
              </w:rPr>
            </w:pPr>
          </w:p>
          <w:p w14:paraId="67827179" w14:textId="77777777" w:rsidR="00820D2F" w:rsidRDefault="00820D2F" w:rsidP="005E2618">
            <w:pPr>
              <w:rPr>
                <w:rFonts w:ascii="Arial" w:hAnsi="Arial" w:cs="Arial"/>
                <w:b/>
                <w:bCs/>
              </w:rPr>
            </w:pPr>
          </w:p>
          <w:p w14:paraId="12481516" w14:textId="77777777" w:rsidR="00820D2F" w:rsidRDefault="00820D2F" w:rsidP="005E2618">
            <w:pPr>
              <w:rPr>
                <w:rFonts w:ascii="Arial" w:hAnsi="Arial" w:cs="Arial"/>
                <w:b/>
                <w:bCs/>
              </w:rPr>
            </w:pPr>
          </w:p>
          <w:p w14:paraId="725DB692" w14:textId="77777777" w:rsidR="00820D2F" w:rsidRDefault="00820D2F" w:rsidP="005E2618">
            <w:pPr>
              <w:rPr>
                <w:rFonts w:ascii="Arial" w:hAnsi="Arial" w:cs="Arial"/>
                <w:b/>
                <w:bCs/>
              </w:rPr>
            </w:pPr>
          </w:p>
          <w:p w14:paraId="1031E71E" w14:textId="77777777" w:rsidR="00820D2F" w:rsidRDefault="00820D2F" w:rsidP="005E2618">
            <w:pPr>
              <w:rPr>
                <w:rFonts w:ascii="Arial" w:hAnsi="Arial" w:cs="Arial"/>
                <w:b/>
                <w:bCs/>
              </w:rPr>
            </w:pPr>
          </w:p>
          <w:p w14:paraId="657C28E9" w14:textId="77777777" w:rsidR="00820D2F" w:rsidRDefault="00820D2F" w:rsidP="005E2618">
            <w:pPr>
              <w:rPr>
                <w:rFonts w:ascii="Arial" w:hAnsi="Arial" w:cs="Arial"/>
                <w:b/>
                <w:bCs/>
              </w:rPr>
            </w:pPr>
          </w:p>
          <w:p w14:paraId="673A69A1" w14:textId="77777777" w:rsidR="00820D2F" w:rsidRDefault="00820D2F" w:rsidP="005E2618">
            <w:pPr>
              <w:rPr>
                <w:rFonts w:ascii="Arial" w:hAnsi="Arial" w:cs="Arial"/>
                <w:b/>
                <w:bCs/>
              </w:rPr>
            </w:pPr>
          </w:p>
          <w:p w14:paraId="46F33069" w14:textId="77777777" w:rsidR="00820D2F" w:rsidRDefault="00820D2F" w:rsidP="005E2618">
            <w:pPr>
              <w:rPr>
                <w:rFonts w:ascii="Arial" w:hAnsi="Arial" w:cs="Arial"/>
                <w:b/>
                <w:bCs/>
              </w:rPr>
            </w:pPr>
          </w:p>
          <w:p w14:paraId="7A950DB3" w14:textId="77777777" w:rsidR="00A90AEB" w:rsidRDefault="00A90AEB" w:rsidP="005E2618">
            <w:pPr>
              <w:rPr>
                <w:rFonts w:ascii="Arial" w:hAnsi="Arial" w:cs="Arial"/>
                <w:b/>
                <w:bCs/>
              </w:rPr>
            </w:pPr>
            <w:r>
              <w:rPr>
                <w:rFonts w:ascii="Arial" w:hAnsi="Arial" w:cs="Arial"/>
                <w:b/>
                <w:bCs/>
              </w:rPr>
              <w:t>FORMS:</w:t>
            </w:r>
          </w:p>
        </w:tc>
        <w:tc>
          <w:tcPr>
            <w:tcW w:w="7664" w:type="dxa"/>
          </w:tcPr>
          <w:p w14:paraId="433B78E6" w14:textId="77777777" w:rsidR="00A90AEB" w:rsidRPr="00820D2F" w:rsidRDefault="00A90AEB" w:rsidP="005E2618">
            <w:p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lastRenderedPageBreak/>
              <w:t xml:space="preserve">ESTABLISH CHAIN OF CUSTODY: </w:t>
            </w:r>
          </w:p>
          <w:p w14:paraId="5B99E68C" w14:textId="77777777" w:rsidR="00A90AEB" w:rsidRPr="00820D2F" w:rsidRDefault="00A90AEB" w:rsidP="005E2618">
            <w:pPr>
              <w:autoSpaceDE w:val="0"/>
              <w:autoSpaceDN w:val="0"/>
              <w:adjustRightInd w:val="0"/>
              <w:rPr>
                <w:rFonts w:ascii="TTE286A1B8t00" w:hAnsi="TTE286A1B8t00" w:cs="TTE286A1B8t00"/>
                <w:sz w:val="22"/>
                <w:szCs w:val="22"/>
              </w:rPr>
            </w:pPr>
          </w:p>
          <w:p w14:paraId="3A2E5E47" w14:textId="77777777" w:rsidR="00A90AEB" w:rsidRPr="00820D2F" w:rsidRDefault="00A90AEB" w:rsidP="00A90AEB">
            <w:pPr>
              <w:numPr>
                <w:ilvl w:val="0"/>
                <w:numId w:val="1"/>
              </w:num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Ensuring the integrity of the evidence by establishing and maintaining a chain of custody is vital to an investigation. This will safeguard against subsequent allegations of tampering, theft, planting and contamination of evidence. Prior to the removal of any evidence, the custodian(s) of evidence shall be designated and shall generate and maintain a chain of custody for all evidence collected. Throughout the investigation, those responsible for preserving the chain of custody should.</w:t>
            </w:r>
          </w:p>
          <w:p w14:paraId="1FE3A655" w14:textId="77777777" w:rsidR="00A90AEB" w:rsidRPr="00820D2F" w:rsidRDefault="00A90AEB" w:rsidP="00A90AEB">
            <w:pPr>
              <w:numPr>
                <w:ilvl w:val="0"/>
                <w:numId w:val="1"/>
              </w:num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Determine custodian(s) of evidence, determine which agency is responsible for collection of specific types of evidence and determine evidence collection priority for fragile/fleeting evidence</w:t>
            </w:r>
          </w:p>
          <w:p w14:paraId="7B70CADD" w14:textId="77777777" w:rsidR="00A90AEB" w:rsidRPr="00820D2F" w:rsidRDefault="00A90AEB" w:rsidP="00A90AEB">
            <w:pPr>
              <w:numPr>
                <w:ilvl w:val="0"/>
                <w:numId w:val="1"/>
              </w:num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Identify, secure and preserve evidence with proper containers, labels and preservatives. And be sealed and signed on scene.</w:t>
            </w:r>
          </w:p>
          <w:p w14:paraId="31238522" w14:textId="77777777" w:rsidR="00A90AEB" w:rsidRPr="00820D2F" w:rsidRDefault="00A90AEB" w:rsidP="00A90AEB">
            <w:pPr>
              <w:numPr>
                <w:ilvl w:val="0"/>
                <w:numId w:val="1"/>
              </w:num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Document the collection of evidence by recording its location (GPS or scene sketch</w:t>
            </w:r>
            <w:r w:rsidR="00820D2F" w:rsidRPr="00820D2F">
              <w:rPr>
                <w:rFonts w:ascii="TTE286A1B8t00" w:hAnsi="TTE286A1B8t00" w:cs="TTE286A1B8t00"/>
                <w:sz w:val="22"/>
                <w:szCs w:val="22"/>
              </w:rPr>
              <w:t xml:space="preserve">, </w:t>
            </w:r>
            <w:r w:rsidR="00820D2F" w:rsidRPr="00820D2F">
              <w:rPr>
                <w:rFonts w:ascii="TTE286A1B8t00" w:hAnsi="TTE286A1B8t00" w:cs="TTE286A1B8t00"/>
                <w:sz w:val="22"/>
                <w:szCs w:val="22"/>
                <w:highlight w:val="green"/>
              </w:rPr>
              <w:t>3D scan</w:t>
            </w:r>
            <w:r w:rsidRPr="00820D2F">
              <w:rPr>
                <w:rFonts w:ascii="TTE286A1B8t00" w:hAnsi="TTE286A1B8t00" w:cs="TTE286A1B8t00"/>
                <w:sz w:val="22"/>
                <w:szCs w:val="22"/>
              </w:rPr>
              <w:t>) at the scene, time of collection including compass reading and time and location of disposition</w:t>
            </w:r>
          </w:p>
          <w:p w14:paraId="3AB74524" w14:textId="77777777" w:rsidR="00A90AEB" w:rsidRPr="00820D2F" w:rsidRDefault="00A90AEB" w:rsidP="00A90AEB">
            <w:pPr>
              <w:numPr>
                <w:ilvl w:val="0"/>
                <w:numId w:val="1"/>
              </w:num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Follow laws (related to the collection of evidence): PCCO must follow local, State, and Federal laws for the collection of evidence to ensure its admissibility. PCCO must work with law enforcement and other legal authorities to determine laws regarding collection of evidence.</w:t>
            </w:r>
          </w:p>
          <w:p w14:paraId="23E43D1D" w14:textId="77777777" w:rsidR="00A90AEB" w:rsidRPr="00820D2F" w:rsidRDefault="00A90AEB" w:rsidP="00A90AEB">
            <w:pPr>
              <w:numPr>
                <w:ilvl w:val="0"/>
                <w:numId w:val="1"/>
              </w:num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PCCO working with other agencies must identify and work under appropriate legal authority. Modification of informal procedures may be necessary but laws must always be followed. Prior to or upon arrival at the death scene, PCCO should work with other agencies to:</w:t>
            </w:r>
          </w:p>
          <w:p w14:paraId="06093C82" w14:textId="77777777" w:rsidR="00A90AEB" w:rsidRPr="00820D2F" w:rsidRDefault="00A90AEB" w:rsidP="005E2618">
            <w:pPr>
              <w:autoSpaceDE w:val="0"/>
              <w:autoSpaceDN w:val="0"/>
              <w:adjustRightInd w:val="0"/>
              <w:ind w:left="720"/>
              <w:rPr>
                <w:rFonts w:ascii="TTE286A1B8t00" w:hAnsi="TTE286A1B8t00" w:cs="TTE286A1B8t00"/>
                <w:sz w:val="22"/>
                <w:szCs w:val="22"/>
              </w:rPr>
            </w:pPr>
            <w:r w:rsidRPr="00820D2F">
              <w:rPr>
                <w:rFonts w:ascii="TTE286A1B8t00" w:hAnsi="TTE286A1B8t00" w:cs="TTE286A1B8t00"/>
                <w:sz w:val="22"/>
                <w:szCs w:val="22"/>
              </w:rPr>
              <w:t xml:space="preserve">         a. Determine the need for a search warrant (discuss with appropriate agencies)</w:t>
            </w:r>
          </w:p>
          <w:p w14:paraId="2B62F8D5" w14:textId="77777777" w:rsidR="00A90AEB" w:rsidRPr="00820D2F" w:rsidRDefault="00A90AEB" w:rsidP="005E2618">
            <w:pPr>
              <w:autoSpaceDE w:val="0"/>
              <w:autoSpaceDN w:val="0"/>
              <w:adjustRightInd w:val="0"/>
              <w:ind w:left="720"/>
              <w:rPr>
                <w:rFonts w:ascii="TTE286A1B8t00" w:hAnsi="TTE286A1B8t00" w:cs="TTE286A1B8t00"/>
                <w:sz w:val="22"/>
                <w:szCs w:val="22"/>
              </w:rPr>
            </w:pPr>
            <w:r w:rsidRPr="00820D2F">
              <w:rPr>
                <w:rFonts w:ascii="TTE286A1B8t00" w:hAnsi="TTE286A1B8t00" w:cs="TTE286A1B8t00"/>
                <w:sz w:val="22"/>
                <w:szCs w:val="22"/>
              </w:rPr>
              <w:t xml:space="preserve">         b. Identify local, State, Federal, and International laws that might apply</w:t>
            </w:r>
          </w:p>
          <w:p w14:paraId="0EF0C04D" w14:textId="77777777" w:rsidR="00A90AEB" w:rsidRPr="00820D2F" w:rsidRDefault="00A90AEB" w:rsidP="005E2618">
            <w:pPr>
              <w:autoSpaceDE w:val="0"/>
              <w:autoSpaceDN w:val="0"/>
              <w:adjustRightInd w:val="0"/>
              <w:rPr>
                <w:rFonts w:ascii="TTE286A1B8t00" w:hAnsi="TTE286A1B8t00" w:cs="TTE286A1B8t00"/>
                <w:sz w:val="22"/>
                <w:szCs w:val="22"/>
              </w:rPr>
            </w:pPr>
            <w:r w:rsidRPr="00820D2F">
              <w:rPr>
                <w:rFonts w:ascii="TTE286A1B8t00" w:hAnsi="TTE286A1B8t00" w:cs="TTE286A1B8t00"/>
                <w:sz w:val="22"/>
                <w:szCs w:val="22"/>
              </w:rPr>
              <w:t xml:space="preserve">                      c. Identify statutes and/or standard operating guidelines </w:t>
            </w:r>
          </w:p>
          <w:p w14:paraId="450DF0EF" w14:textId="77777777" w:rsidR="00A90AEB" w:rsidRPr="00820D2F" w:rsidRDefault="00A90AEB" w:rsidP="005E2618">
            <w:pPr>
              <w:autoSpaceDE w:val="0"/>
              <w:autoSpaceDN w:val="0"/>
              <w:adjustRightInd w:val="0"/>
              <w:rPr>
                <w:rFonts w:ascii="TTE286A1B8t00" w:hAnsi="TTE286A1B8t00" w:cs="TTE286A1B8t00"/>
                <w:sz w:val="22"/>
                <w:szCs w:val="22"/>
              </w:rPr>
            </w:pPr>
          </w:p>
          <w:p w14:paraId="42E0EC0C" w14:textId="77777777" w:rsidR="00A90AEB" w:rsidRPr="00820D2F" w:rsidRDefault="00A90AEB" w:rsidP="005E2618">
            <w:pPr>
              <w:ind w:left="-76"/>
              <w:jc w:val="both"/>
              <w:rPr>
                <w:rFonts w:ascii="TTE286A1B8t00" w:hAnsi="TTE286A1B8t00" w:cs="TTE286A1B8t00"/>
                <w:sz w:val="22"/>
                <w:szCs w:val="22"/>
              </w:rPr>
            </w:pPr>
            <w:r w:rsidRPr="00820D2F">
              <w:rPr>
                <w:rFonts w:ascii="TTE286A1B8t00" w:hAnsi="TTE286A1B8t00" w:cs="TTE286A1B8t00"/>
                <w:sz w:val="22"/>
                <w:szCs w:val="22"/>
              </w:rPr>
              <w:t xml:space="preserve">        7.  If evidence has been moved prior to written documentation, it should be noted in the report.</w:t>
            </w:r>
          </w:p>
          <w:p w14:paraId="49CC5F6D" w14:textId="77777777" w:rsidR="00A90AEB" w:rsidRPr="00820D2F" w:rsidRDefault="00A90AEB" w:rsidP="005E2618">
            <w:pPr>
              <w:ind w:left="-76"/>
              <w:jc w:val="both"/>
              <w:rPr>
                <w:rFonts w:ascii="Arial" w:hAnsi="Arial"/>
                <w:sz w:val="22"/>
                <w:szCs w:val="22"/>
              </w:rPr>
            </w:pPr>
            <w:r w:rsidRPr="00820D2F">
              <w:rPr>
                <w:rFonts w:ascii="TTE286A1B8t00" w:hAnsi="TTE286A1B8t00" w:cs="TTE286A1B8t00"/>
                <w:sz w:val="22"/>
                <w:szCs w:val="22"/>
              </w:rPr>
              <w:t xml:space="preserve">        8</w:t>
            </w:r>
            <w:r w:rsidRPr="00820D2F">
              <w:rPr>
                <w:rFonts w:ascii="Arial" w:hAnsi="Arial"/>
                <w:sz w:val="22"/>
                <w:szCs w:val="22"/>
              </w:rPr>
              <w:t xml:space="preserve">.   All evidence must be tracked and secured in the individual locked </w:t>
            </w:r>
            <w:r w:rsidR="00820D2F" w:rsidRPr="00820D2F">
              <w:rPr>
                <w:rFonts w:ascii="Arial" w:hAnsi="Arial"/>
                <w:sz w:val="22"/>
                <w:szCs w:val="22"/>
                <w:highlight w:val="green"/>
              </w:rPr>
              <w:t>evidence</w:t>
            </w:r>
            <w:r w:rsidR="00820D2F" w:rsidRPr="00820D2F">
              <w:rPr>
                <w:rFonts w:ascii="Arial" w:hAnsi="Arial"/>
                <w:sz w:val="22"/>
                <w:szCs w:val="22"/>
              </w:rPr>
              <w:t xml:space="preserve"> </w:t>
            </w:r>
            <w:r w:rsidRPr="00820D2F">
              <w:rPr>
                <w:rFonts w:ascii="Arial" w:hAnsi="Arial"/>
                <w:sz w:val="22"/>
                <w:szCs w:val="22"/>
              </w:rPr>
              <w:t>storage using the appropriate log sheet.</w:t>
            </w:r>
          </w:p>
          <w:p w14:paraId="4075B4FC" w14:textId="77777777" w:rsidR="00A90AEB" w:rsidRPr="00820D2F" w:rsidRDefault="00A90AEB" w:rsidP="005E2618">
            <w:pPr>
              <w:ind w:left="-76"/>
              <w:jc w:val="both"/>
              <w:rPr>
                <w:rFonts w:ascii="Arial" w:hAnsi="Arial"/>
                <w:sz w:val="22"/>
                <w:szCs w:val="22"/>
              </w:rPr>
            </w:pPr>
            <w:r w:rsidRPr="00820D2F">
              <w:rPr>
                <w:rFonts w:ascii="Arial" w:hAnsi="Arial"/>
                <w:sz w:val="22"/>
                <w:szCs w:val="22"/>
              </w:rPr>
              <w:t xml:space="preserve">               a. The evidence cabinets and refrigerator shall be in the morgue which has an electronic log of access and the entrance is monitored by camera. </w:t>
            </w:r>
          </w:p>
          <w:p w14:paraId="7EACFFF5" w14:textId="77777777" w:rsidR="00A90AEB" w:rsidRPr="00820D2F" w:rsidRDefault="00A90AEB" w:rsidP="005E2618">
            <w:pPr>
              <w:ind w:left="-76"/>
              <w:jc w:val="both"/>
              <w:rPr>
                <w:rFonts w:ascii="Arial" w:hAnsi="Arial"/>
                <w:sz w:val="22"/>
                <w:szCs w:val="22"/>
              </w:rPr>
            </w:pPr>
            <w:r w:rsidRPr="00820D2F">
              <w:rPr>
                <w:rFonts w:ascii="Arial" w:hAnsi="Arial"/>
                <w:sz w:val="22"/>
                <w:szCs w:val="22"/>
              </w:rPr>
              <w:t xml:space="preserve">        9.   At all times the integrity of the evidence must be safe guarded.</w:t>
            </w:r>
          </w:p>
          <w:p w14:paraId="4DE46718" w14:textId="77777777" w:rsidR="00A90AEB" w:rsidRPr="00820D2F" w:rsidRDefault="00A90AEB" w:rsidP="005E2618">
            <w:pPr>
              <w:ind w:left="-76"/>
              <w:jc w:val="both"/>
              <w:rPr>
                <w:rFonts w:ascii="Arial" w:hAnsi="Arial"/>
                <w:sz w:val="22"/>
                <w:szCs w:val="22"/>
              </w:rPr>
            </w:pPr>
            <w:r w:rsidRPr="00820D2F">
              <w:rPr>
                <w:rFonts w:ascii="Arial" w:hAnsi="Arial"/>
                <w:sz w:val="22"/>
                <w:szCs w:val="22"/>
              </w:rPr>
              <w:lastRenderedPageBreak/>
              <w:t xml:space="preserve">       10.  At all times when evidence is out of the locker written documentation must include why, where, what if any tests or changes to evidence and in/out times.</w:t>
            </w:r>
          </w:p>
          <w:p w14:paraId="4E53DEC2" w14:textId="77777777" w:rsidR="00A90AEB" w:rsidRPr="00820D2F" w:rsidRDefault="00A90AEB" w:rsidP="005E2618">
            <w:pPr>
              <w:ind w:left="-76"/>
              <w:jc w:val="both"/>
              <w:rPr>
                <w:rFonts w:ascii="TTE286A1B8t00" w:hAnsi="TTE286A1B8t00" w:cs="TTE286A1B8t00"/>
                <w:sz w:val="22"/>
                <w:szCs w:val="22"/>
              </w:rPr>
            </w:pPr>
            <w:r w:rsidRPr="00820D2F">
              <w:rPr>
                <w:rFonts w:ascii="TTE286A1B8t00" w:hAnsi="TTE286A1B8t00" w:cs="TTE286A1B8t00"/>
                <w:sz w:val="22"/>
                <w:szCs w:val="22"/>
              </w:rPr>
              <w:t xml:space="preserve">       11. Ensure that each form is signed and date/time correctly. Ensure chain of Custody form is signed by receiving agency.</w:t>
            </w:r>
          </w:p>
          <w:p w14:paraId="0295868E" w14:textId="77777777" w:rsidR="00A90AEB" w:rsidRPr="00A75A1E" w:rsidRDefault="00A90AEB" w:rsidP="005E2618">
            <w:pPr>
              <w:ind w:left="-76"/>
              <w:jc w:val="both"/>
              <w:rPr>
                <w:rFonts w:ascii="TTE286A1B8t00" w:hAnsi="TTE286A1B8t00" w:cs="TTE286A1B8t00"/>
                <w:sz w:val="20"/>
                <w:szCs w:val="20"/>
              </w:rPr>
            </w:pPr>
          </w:p>
          <w:p w14:paraId="3D57B367" w14:textId="77777777" w:rsidR="00A90AEB" w:rsidRDefault="00A90AEB" w:rsidP="005E2618">
            <w:pPr>
              <w:pStyle w:val="ListParagraph"/>
              <w:ind w:left="0"/>
              <w:rPr>
                <w:rFonts w:ascii="Arial" w:hAnsi="Arial"/>
                <w:sz w:val="20"/>
              </w:rPr>
            </w:pPr>
            <w:r>
              <w:rPr>
                <w:rFonts w:ascii="Arial" w:hAnsi="Arial"/>
                <w:sz w:val="20"/>
              </w:rPr>
              <w:t>Chain of Custody, Body Intake &amp; Release, Evidence-Refrigerator Running log, Evidence-Cabinet Running Log</w:t>
            </w:r>
          </w:p>
          <w:p w14:paraId="688A4AA3" w14:textId="77777777" w:rsidR="00A90AEB" w:rsidRPr="001F4550" w:rsidRDefault="00A90AEB" w:rsidP="005E2618">
            <w:pPr>
              <w:ind w:left="719"/>
              <w:jc w:val="both"/>
              <w:rPr>
                <w:rFonts w:cs="Arial"/>
                <w:sz w:val="20"/>
              </w:rPr>
            </w:pPr>
          </w:p>
        </w:tc>
      </w:tr>
      <w:tr w:rsidR="00A90AEB" w14:paraId="7C2F7827" w14:textId="77777777" w:rsidTr="005E2618">
        <w:tc>
          <w:tcPr>
            <w:tcW w:w="1696" w:type="dxa"/>
          </w:tcPr>
          <w:p w14:paraId="67BDBD30" w14:textId="77777777" w:rsidR="00A90AEB" w:rsidRDefault="00A90AEB" w:rsidP="005E2618">
            <w:pPr>
              <w:jc w:val="both"/>
              <w:rPr>
                <w:rFonts w:ascii="Arial" w:hAnsi="Arial" w:cs="Arial"/>
                <w:b/>
                <w:bCs/>
              </w:rPr>
            </w:pPr>
          </w:p>
        </w:tc>
        <w:tc>
          <w:tcPr>
            <w:tcW w:w="7664" w:type="dxa"/>
          </w:tcPr>
          <w:p w14:paraId="750FDA1D" w14:textId="77777777" w:rsidR="00A90AEB" w:rsidRPr="00F80A91" w:rsidRDefault="00A90AEB" w:rsidP="005E2618">
            <w:pPr>
              <w:pStyle w:val="BodyText"/>
              <w:rPr>
                <w:rFonts w:cs="Arial"/>
                <w:sz w:val="20"/>
              </w:rPr>
            </w:pPr>
          </w:p>
        </w:tc>
      </w:tr>
    </w:tbl>
    <w:p w14:paraId="4421667B" w14:textId="77777777" w:rsidR="00A90AEB" w:rsidRDefault="00A90AEB" w:rsidP="00A90AEB">
      <w:pPr>
        <w:tabs>
          <w:tab w:val="left" w:pos="5760"/>
        </w:tabs>
        <w:rPr>
          <w:rFonts w:ascii="Arial" w:hAnsi="Arial" w:cs="Arial"/>
          <w:sz w:val="16"/>
        </w:rPr>
      </w:pPr>
      <w:r>
        <w:rPr>
          <w:rFonts w:ascii="Arial" w:hAnsi="Arial" w:cs="Arial"/>
          <w:sz w:val="16"/>
        </w:rPr>
        <w:t>Approved by:  David E Kintz Jr</w:t>
      </w:r>
      <w:r>
        <w:rPr>
          <w:rFonts w:ascii="Arial" w:hAnsi="Arial" w:cs="Arial"/>
          <w:sz w:val="16"/>
        </w:rPr>
        <w:tab/>
      </w:r>
    </w:p>
    <w:p w14:paraId="50654F54" w14:textId="77777777" w:rsidR="00A90AEB" w:rsidRDefault="00A90AEB" w:rsidP="00A90AEB">
      <w:pPr>
        <w:tabs>
          <w:tab w:val="left" w:pos="1440"/>
        </w:tabs>
        <w:rPr>
          <w:rFonts w:ascii="Arial" w:hAnsi="Arial" w:cs="Arial"/>
          <w:sz w:val="16"/>
        </w:rPr>
      </w:pPr>
      <w:r>
        <w:rPr>
          <w:sz w:val="16"/>
        </w:rPr>
        <w:tab/>
      </w:r>
      <w:smartTag w:uri="urn:schemas-microsoft-com:office:smarttags" w:element="place">
        <w:smartTag w:uri="urn:schemas-microsoft-com:office:smarttags" w:element="PlaceType">
          <w:r>
            <w:rPr>
              <w:rFonts w:ascii="Arial" w:hAnsi="Arial" w:cs="Arial"/>
              <w:sz w:val="16"/>
            </w:rPr>
            <w:t>Park</w:t>
          </w:r>
        </w:smartTag>
        <w:r>
          <w:rPr>
            <w:rFonts w:ascii="Arial" w:hAnsi="Arial" w:cs="Arial"/>
            <w:sz w:val="16"/>
          </w:rPr>
          <w:t xml:space="preserve"> </w:t>
        </w:r>
        <w:smartTag w:uri="urn:schemas-microsoft-com:office:smarttags" w:element="PlaceType">
          <w:r>
            <w:rPr>
              <w:rFonts w:ascii="Arial" w:hAnsi="Arial" w:cs="Arial"/>
              <w:sz w:val="16"/>
            </w:rPr>
            <w:t>County</w:t>
          </w:r>
        </w:smartTag>
      </w:smartTag>
      <w:r>
        <w:rPr>
          <w:rFonts w:ascii="Arial" w:hAnsi="Arial" w:cs="Arial"/>
          <w:sz w:val="16"/>
        </w:rPr>
        <w:t xml:space="preserve"> Coroner</w:t>
      </w:r>
    </w:p>
    <w:p w14:paraId="59A130C4" w14:textId="77777777" w:rsidR="00F66F04" w:rsidRDefault="00F66F04"/>
    <w:sectPr w:rsidR="00F66F04" w:rsidSect="00BC7F02">
      <w:headerReference w:type="default" r:id="rId10"/>
      <w:footerReference w:type="default" r:id="rId11"/>
      <w:pgSz w:w="12240" w:h="15840" w:code="1"/>
      <w:pgMar w:top="2371" w:right="1440" w:bottom="1080" w:left="1440" w:header="90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42985" w14:textId="77777777" w:rsidR="00BF5E09" w:rsidRDefault="00820D2F">
      <w:r>
        <w:separator/>
      </w:r>
    </w:p>
  </w:endnote>
  <w:endnote w:type="continuationSeparator" w:id="0">
    <w:p w14:paraId="0A7991CF" w14:textId="77777777" w:rsidR="00BF5E09" w:rsidRDefault="0082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TE286A1B8t00">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C5C7" w14:textId="77777777" w:rsidR="00DA22A6" w:rsidRDefault="00A90AEB">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11AFF" w14:textId="77777777" w:rsidR="00BF5E09" w:rsidRDefault="00820D2F">
      <w:r>
        <w:separator/>
      </w:r>
    </w:p>
  </w:footnote>
  <w:footnote w:type="continuationSeparator" w:id="0">
    <w:p w14:paraId="1A35888C" w14:textId="77777777" w:rsidR="00BF5E09" w:rsidRDefault="00820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E536B" w14:textId="77777777" w:rsidR="00DA22A6" w:rsidRDefault="00A90AEB">
    <w:pPr>
      <w:pStyle w:val="Title"/>
      <w:rPr>
        <w:sz w:val="22"/>
      </w:rPr>
    </w:pPr>
    <w:smartTag w:uri="urn:schemas-microsoft-com:office:smarttags" w:element="place">
      <w:smartTag w:uri="urn:schemas-microsoft-com:office:smarttags" w:element="PlaceType">
        <w:r>
          <w:rPr>
            <w:sz w:val="22"/>
          </w:rPr>
          <w:t>Park</w:t>
        </w:r>
      </w:smartTag>
      <w:r>
        <w:rPr>
          <w:sz w:val="22"/>
        </w:rPr>
        <w:t xml:space="preserve"> </w:t>
      </w:r>
      <w:smartTag w:uri="urn:schemas-microsoft-com:office:smarttags" w:element="PlaceType">
        <w:r>
          <w:rPr>
            <w:sz w:val="22"/>
          </w:rPr>
          <w:t>County</w:t>
        </w:r>
      </w:smartTag>
    </w:smartTag>
    <w:r>
      <w:rPr>
        <w:sz w:val="22"/>
      </w:rPr>
      <w:t xml:space="preserve"> </w:t>
    </w:r>
    <w:proofErr w:type="spellStart"/>
    <w:r>
      <w:rPr>
        <w:sz w:val="22"/>
      </w:rPr>
      <w:t>Coroners</w:t>
    </w:r>
    <w:proofErr w:type="spellEnd"/>
    <w:r>
      <w:rPr>
        <w:sz w:val="22"/>
      </w:rPr>
      <w:t xml:space="preserve"> Office</w:t>
    </w:r>
  </w:p>
  <w:p w14:paraId="04F31D0C" w14:textId="77777777" w:rsidR="00DA22A6" w:rsidRDefault="00DA22A6">
    <w:pPr>
      <w:pStyle w:val="Title"/>
      <w:rPr>
        <w:sz w:val="22"/>
      </w:rPr>
    </w:pPr>
  </w:p>
  <w:p w14:paraId="7DADFB7F" w14:textId="77777777" w:rsidR="00DA22A6" w:rsidRDefault="00DA22A6">
    <w:pPr>
      <w:pStyle w:val="Title"/>
      <w:rPr>
        <w:sz w:val="22"/>
      </w:rPr>
    </w:pPr>
  </w:p>
  <w:p w14:paraId="16962270" w14:textId="77777777" w:rsidR="00DA22A6" w:rsidRPr="00332EA4" w:rsidRDefault="00A90AEB">
    <w:pPr>
      <w:pStyle w:val="Title"/>
      <w:rPr>
        <w:sz w:val="22"/>
        <w:u w:val="single"/>
      </w:rPr>
    </w:pPr>
    <w:r>
      <w:rPr>
        <w:sz w:val="22"/>
        <w:u w:val="single"/>
      </w:rPr>
      <w:t>Chain of Custody</w:t>
    </w:r>
  </w:p>
  <w:p w14:paraId="18B3DA5D" w14:textId="77777777" w:rsidR="00DA22A6" w:rsidRDefault="00DA22A6">
    <w:pPr>
      <w:pStyle w:val="Title"/>
      <w:rPr>
        <w:sz w:val="22"/>
      </w:rPr>
    </w:pPr>
  </w:p>
  <w:p w14:paraId="46CCD3B0" w14:textId="77777777" w:rsidR="00DA22A6" w:rsidRPr="002F6995" w:rsidRDefault="00DA22A6">
    <w:pPr>
      <w:pStyle w:val="Heading1"/>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E1F55"/>
    <w:multiLevelType w:val="hybridMultilevel"/>
    <w:tmpl w:val="7FEE6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62922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AEB"/>
    <w:rsid w:val="00820D2F"/>
    <w:rsid w:val="00A90AEB"/>
    <w:rsid w:val="00BF5E09"/>
    <w:rsid w:val="00D90C2C"/>
    <w:rsid w:val="00DA22A6"/>
    <w:rsid w:val="00F66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7D4C3D1C"/>
  <w15:docId w15:val="{2896284C-B6C2-435B-8051-F1411FFA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AE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90AEB"/>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AEB"/>
    <w:rPr>
      <w:rFonts w:ascii="Arial" w:eastAsia="Times New Roman" w:hAnsi="Arial" w:cs="Arial"/>
      <w:b/>
      <w:bCs/>
      <w:szCs w:val="24"/>
    </w:rPr>
  </w:style>
  <w:style w:type="paragraph" w:styleId="Title">
    <w:name w:val="Title"/>
    <w:basedOn w:val="Normal"/>
    <w:link w:val="TitleChar"/>
    <w:qFormat/>
    <w:rsid w:val="00A90AEB"/>
    <w:pPr>
      <w:jc w:val="center"/>
    </w:pPr>
    <w:rPr>
      <w:rFonts w:ascii="Arial" w:hAnsi="Arial" w:cs="Arial"/>
      <w:b/>
      <w:bCs/>
    </w:rPr>
  </w:style>
  <w:style w:type="character" w:customStyle="1" w:styleId="TitleChar">
    <w:name w:val="Title Char"/>
    <w:basedOn w:val="DefaultParagraphFont"/>
    <w:link w:val="Title"/>
    <w:rsid w:val="00A90AEB"/>
    <w:rPr>
      <w:rFonts w:ascii="Arial" w:eastAsia="Times New Roman" w:hAnsi="Arial" w:cs="Arial"/>
      <w:b/>
      <w:bCs/>
      <w:sz w:val="24"/>
      <w:szCs w:val="24"/>
    </w:rPr>
  </w:style>
  <w:style w:type="paragraph" w:styleId="Footer">
    <w:name w:val="footer"/>
    <w:basedOn w:val="Normal"/>
    <w:link w:val="FooterChar"/>
    <w:semiHidden/>
    <w:rsid w:val="00A90AEB"/>
    <w:pPr>
      <w:tabs>
        <w:tab w:val="center" w:pos="4320"/>
        <w:tab w:val="right" w:pos="8640"/>
      </w:tabs>
    </w:pPr>
  </w:style>
  <w:style w:type="character" w:customStyle="1" w:styleId="FooterChar">
    <w:name w:val="Footer Char"/>
    <w:basedOn w:val="DefaultParagraphFont"/>
    <w:link w:val="Footer"/>
    <w:semiHidden/>
    <w:rsid w:val="00A90AEB"/>
    <w:rPr>
      <w:rFonts w:ascii="Times New Roman" w:eastAsia="Times New Roman" w:hAnsi="Times New Roman" w:cs="Times New Roman"/>
      <w:sz w:val="24"/>
      <w:szCs w:val="24"/>
    </w:rPr>
  </w:style>
  <w:style w:type="character" w:styleId="PageNumber">
    <w:name w:val="page number"/>
    <w:basedOn w:val="DefaultParagraphFont"/>
    <w:semiHidden/>
    <w:rsid w:val="00A90AEB"/>
  </w:style>
  <w:style w:type="paragraph" w:styleId="BodyText">
    <w:name w:val="Body Text"/>
    <w:basedOn w:val="Normal"/>
    <w:link w:val="BodyTextChar"/>
    <w:semiHidden/>
    <w:rsid w:val="00A90AEB"/>
    <w:pPr>
      <w:jc w:val="both"/>
    </w:pPr>
    <w:rPr>
      <w:rFonts w:ascii="Arial" w:hAnsi="Arial"/>
      <w:sz w:val="22"/>
      <w:szCs w:val="20"/>
    </w:rPr>
  </w:style>
  <w:style w:type="character" w:customStyle="1" w:styleId="BodyTextChar">
    <w:name w:val="Body Text Char"/>
    <w:basedOn w:val="DefaultParagraphFont"/>
    <w:link w:val="BodyText"/>
    <w:semiHidden/>
    <w:rsid w:val="00A90AEB"/>
    <w:rPr>
      <w:rFonts w:ascii="Arial" w:eastAsia="Times New Roman" w:hAnsi="Arial" w:cs="Times New Roman"/>
      <w:szCs w:val="20"/>
    </w:rPr>
  </w:style>
  <w:style w:type="paragraph" w:styleId="ListParagraph">
    <w:name w:val="List Paragraph"/>
    <w:basedOn w:val="Normal"/>
    <w:uiPriority w:val="34"/>
    <w:qFormat/>
    <w:rsid w:val="00A90AE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26B093-909A-430D-8E60-E143979246B0}">
  <ds:schemaRefs>
    <ds:schemaRef ds:uri="http://www.w3.org/XML/1998/namespace"/>
    <ds:schemaRef ds:uri="http://purl.org/dc/terms/"/>
    <ds:schemaRef ds:uri="8416942f-d982-4ba4-a5b0-104826b4be24"/>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8ef27eb8-0e3d-496f-b523-771757bdd770"/>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690E044-9271-47B3-9FA4-05FCCD34FE3F}">
  <ds:schemaRefs>
    <ds:schemaRef ds:uri="http://schemas.microsoft.com/sharepoint/v3/contenttype/forms"/>
  </ds:schemaRefs>
</ds:datastoreItem>
</file>

<file path=customXml/itemProps3.xml><?xml version="1.0" encoding="utf-8"?>
<ds:datastoreItem xmlns:ds="http://schemas.openxmlformats.org/officeDocument/2006/customXml" ds:itemID="{1B00B853-2BDA-4EB1-9163-60472CA07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2587</Characters>
  <Application>Microsoft Office Word</Application>
  <DocSecurity>0</DocSecurity>
  <Lines>21</Lines>
  <Paragraphs>6</Paragraphs>
  <ScaleCrop>false</ScaleCrop>
  <Company>Microsoft</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Kintz Jr</dc:creator>
  <cp:lastModifiedBy>Chisholm, Yujiemi</cp:lastModifiedBy>
  <cp:revision>2</cp:revision>
  <dcterms:created xsi:type="dcterms:W3CDTF">2025-06-02T10:02:00Z</dcterms:created>
  <dcterms:modified xsi:type="dcterms:W3CDTF">2025-06-02T10:02:00Z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